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F31" w:rsidRPr="00A04F31" w:rsidRDefault="00A04F31" w:rsidP="00A04F3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A04F31">
        <w:rPr>
          <w:rFonts w:ascii="Minion Pro" w:eastAsia="Times New Roman" w:hAnsi="Minion Pro" w:cs="Times New Roman"/>
          <w:b/>
          <w:bCs/>
          <w:color w:val="231F20"/>
          <w:sz w:val="24"/>
          <w:szCs w:val="24"/>
          <w:bdr w:val="none" w:sz="0" w:space="0" w:color="auto" w:frame="1"/>
          <w:lang w:eastAsia="hr-HR"/>
        </w:rPr>
        <w:t xml:space="preserve">OBRAZAC 20. Evidencija o provedbi Mjere 11, </w:t>
      </w:r>
      <w:proofErr w:type="spellStart"/>
      <w:r w:rsidRPr="00A04F31">
        <w:rPr>
          <w:rFonts w:ascii="Minion Pro" w:eastAsia="Times New Roman" w:hAnsi="Minion Pro" w:cs="Times New Roman"/>
          <w:b/>
          <w:bCs/>
          <w:color w:val="231F20"/>
          <w:sz w:val="24"/>
          <w:szCs w:val="24"/>
          <w:bdr w:val="none" w:sz="0" w:space="0" w:color="auto" w:frame="1"/>
          <w:lang w:eastAsia="hr-HR"/>
        </w:rPr>
        <w:t>podmjera</w:t>
      </w:r>
      <w:proofErr w:type="spellEnd"/>
      <w:r w:rsidRPr="00A04F31">
        <w:rPr>
          <w:rFonts w:ascii="Minion Pro" w:eastAsia="Times New Roman" w:hAnsi="Minion Pro" w:cs="Times New Roman"/>
          <w:b/>
          <w:bCs/>
          <w:color w:val="231F20"/>
          <w:sz w:val="24"/>
          <w:szCs w:val="24"/>
          <w:bdr w:val="none" w:sz="0" w:space="0" w:color="auto" w:frame="1"/>
          <w:lang w:eastAsia="hr-HR"/>
        </w:rPr>
        <w:t xml:space="preserve"> 11.1.Plaćanja za prijelaz na ekološke poljoprivredne prakse i metode (EKOP) i</w:t>
      </w:r>
      <w:r w:rsidRPr="00A04F31">
        <w:rPr>
          <w:rFonts w:ascii="Minion Pro" w:eastAsia="Times New Roman" w:hAnsi="Minion Pro" w:cs="Times New Roman"/>
          <w:b/>
          <w:bCs/>
          <w:color w:val="231F20"/>
          <w:sz w:val="24"/>
          <w:szCs w:val="24"/>
          <w:bdr w:val="none" w:sz="0" w:space="0" w:color="auto" w:frame="1"/>
          <w:lang w:eastAsia="hr-HR"/>
        </w:rPr>
        <w:br/>
        <w:t>Intervencije 70.04., operacija Prijelaz na ekološki uzgoj</w:t>
      </w:r>
    </w:p>
    <w:p w:rsidR="00A04F31" w:rsidRPr="00A04F31" w:rsidRDefault="00A04F31" w:rsidP="00A04F3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0"/>
      </w:tblGrid>
      <w:tr w:rsidR="00A04F31" w:rsidRPr="00A04F31" w:rsidTr="00546A98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</w:pPr>
            <w:r w:rsidRPr="00A04F31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EVIDENCIJA O PROVEDBI OBVEZA ZA PODMJERU</w:t>
            </w:r>
          </w:p>
          <w:p w:rsidR="00A04F31" w:rsidRPr="00A04F31" w:rsidRDefault="00A04F31" w:rsidP="00A04F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31F20"/>
                <w:sz w:val="16"/>
                <w:szCs w:val="16"/>
                <w:bdr w:val="none" w:sz="0" w:space="0" w:color="auto" w:frame="1"/>
                <w:lang w:eastAsia="hr-HR"/>
              </w:rPr>
            </w:pPr>
            <w:r w:rsidRPr="00A04F31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11.1. Plaćanja za prijelaz na ekološke poljoprivredne prakse i metode (EKOP) i operaciju Prijelaz na ekološki uzgoj</w:t>
            </w:r>
          </w:p>
        </w:tc>
      </w:tr>
    </w:tbl>
    <w:p w:rsidR="00A04F31" w:rsidRPr="00A04F31" w:rsidRDefault="00A04F31" w:rsidP="00A04F31">
      <w:pPr>
        <w:spacing w:after="0" w:line="240" w:lineRule="auto"/>
        <w:textAlignment w:val="baseline"/>
        <w:rPr>
          <w:rFonts w:ascii="Minion Pro" w:eastAsia="Times New Roman" w:hAnsi="Minion Pro" w:cs="Times New Roman"/>
          <w:sz w:val="24"/>
          <w:szCs w:val="24"/>
          <w:lang w:eastAsia="hr-HR"/>
        </w:rPr>
      </w:pPr>
      <w:r w:rsidRPr="00A04F31">
        <w:rPr>
          <w:rFonts w:ascii="Minion Pro" w:eastAsia="Times New Roman" w:hAnsi="Minion Pro" w:cs="Times New Roman"/>
          <w:sz w:val="24"/>
          <w:szCs w:val="24"/>
          <w:lang w:eastAsia="hr-HR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0"/>
        <w:gridCol w:w="2164"/>
        <w:gridCol w:w="2485"/>
        <w:gridCol w:w="1251"/>
      </w:tblGrid>
      <w:tr w:rsidR="00A04F31" w:rsidRPr="00A04F31" w:rsidTr="00546A98">
        <w:trPr>
          <w:trHeight w:val="383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1. DIO – OPĆI PODACI ZA PODMJERU 11.1. Plaćanja za prijelaz na ekološke poljoprivredne prakse i metode (EKOP) i operaciju Prijelaz na ekološki uzgoj</w:t>
            </w:r>
          </w:p>
        </w:tc>
      </w:tr>
      <w:tr w:rsidR="00A04F31" w:rsidRPr="00A04F31" w:rsidTr="00546A98">
        <w:trPr>
          <w:trHeight w:val="185"/>
        </w:trPr>
        <w:tc>
          <w:tcPr>
            <w:tcW w:w="1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NAZIV PG I ODGOVORNE OSOBE</w:t>
            </w:r>
          </w:p>
        </w:tc>
        <w:tc>
          <w:tcPr>
            <w:tcW w:w="327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</w:p>
        </w:tc>
      </w:tr>
      <w:tr w:rsidR="00A04F31" w:rsidRPr="00A04F31" w:rsidTr="00546A98">
        <w:trPr>
          <w:trHeight w:val="197"/>
        </w:trPr>
        <w:tc>
          <w:tcPr>
            <w:tcW w:w="1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OIB:</w:t>
            </w:r>
          </w:p>
        </w:tc>
        <w:tc>
          <w:tcPr>
            <w:tcW w:w="327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MIBPG:</w:t>
            </w:r>
          </w:p>
        </w:tc>
      </w:tr>
      <w:tr w:rsidR="00A04F31" w:rsidRPr="00A04F31" w:rsidTr="00546A98">
        <w:trPr>
          <w:trHeight w:val="185"/>
        </w:trPr>
        <w:tc>
          <w:tcPr>
            <w:tcW w:w="1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SJEDIŠTE PG</w:t>
            </w:r>
          </w:p>
        </w:tc>
        <w:tc>
          <w:tcPr>
            <w:tcW w:w="327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</w:p>
        </w:tc>
      </w:tr>
      <w:tr w:rsidR="00A04F31" w:rsidRPr="00A04F31" w:rsidTr="00546A98">
        <w:trPr>
          <w:trHeight w:val="383"/>
        </w:trPr>
        <w:tc>
          <w:tcPr>
            <w:tcW w:w="17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GODINA ULASKA U SUSTAV POTPORE</w:t>
            </w:r>
          </w:p>
        </w:tc>
        <w:tc>
          <w:tcPr>
            <w:tcW w:w="1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</w:p>
        </w:tc>
        <w:tc>
          <w:tcPr>
            <w:tcW w:w="1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GODINA ZA KOJU SE VODI EVIDENCIJA</w:t>
            </w:r>
          </w:p>
        </w:tc>
        <w:tc>
          <w:tcPr>
            <w:tcW w:w="6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</w:p>
        </w:tc>
      </w:tr>
    </w:tbl>
    <w:p w:rsidR="00A04F31" w:rsidRPr="00A04F31" w:rsidRDefault="00A04F31" w:rsidP="00A04F31">
      <w:pPr>
        <w:spacing w:after="0" w:line="240" w:lineRule="auto"/>
        <w:textAlignment w:val="baseline"/>
        <w:rPr>
          <w:rFonts w:ascii="Minion Pro" w:eastAsia="Times New Roman" w:hAnsi="Minion Pro" w:cs="Times New Roman"/>
          <w:sz w:val="24"/>
          <w:szCs w:val="24"/>
          <w:lang w:eastAsia="hr-HR"/>
        </w:rPr>
      </w:pPr>
      <w:r w:rsidRPr="00A04F31">
        <w:rPr>
          <w:rFonts w:ascii="Minion Pro" w:eastAsia="Times New Roman" w:hAnsi="Minion Pro" w:cs="Times New Roman"/>
          <w:sz w:val="24"/>
          <w:szCs w:val="24"/>
          <w:lang w:eastAsia="hr-HR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"/>
        <w:gridCol w:w="1980"/>
        <w:gridCol w:w="1980"/>
        <w:gridCol w:w="1980"/>
        <w:gridCol w:w="2582"/>
      </w:tblGrid>
      <w:tr w:rsidR="00A04F31" w:rsidRPr="00A04F31" w:rsidTr="00546A98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2. DIO – POPIS ARKOD PARCELA ZA PODMJERU 11.1. Plaćanja za prijelaz na ekološke poljoprivredne prakse i metode (EKOP) i operaciju Prijelaz na ekološki uzgoj</w:t>
            </w:r>
          </w:p>
        </w:tc>
      </w:tr>
      <w:tr w:rsidR="00A04F31" w:rsidRPr="00A04F31" w:rsidTr="00546A98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proofErr w:type="spellStart"/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r.b</w:t>
            </w:r>
            <w:proofErr w:type="spellEnd"/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.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ARKOD ID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površina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domaće ime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kultura</w:t>
            </w:r>
          </w:p>
        </w:tc>
      </w:tr>
      <w:tr w:rsidR="00A04F31" w:rsidRPr="00A04F31" w:rsidTr="00546A98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A04F31" w:rsidRPr="00A04F31" w:rsidTr="00546A98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A04F31" w:rsidRPr="00A04F31" w:rsidTr="00546A98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A04F31" w:rsidRPr="00A04F31" w:rsidTr="00546A98"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0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4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</w:tbl>
    <w:p w:rsidR="00A04F31" w:rsidRPr="00A04F31" w:rsidRDefault="00A04F31" w:rsidP="00A04F31">
      <w:pPr>
        <w:spacing w:after="0" w:line="240" w:lineRule="auto"/>
        <w:textAlignment w:val="baseline"/>
        <w:rPr>
          <w:rFonts w:ascii="Minion Pro" w:eastAsia="Times New Roman" w:hAnsi="Minion Pro" w:cs="Times New Roman"/>
          <w:sz w:val="24"/>
          <w:szCs w:val="24"/>
          <w:lang w:eastAsia="hr-H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0"/>
        <w:gridCol w:w="1065"/>
        <w:gridCol w:w="1101"/>
        <w:gridCol w:w="1474"/>
        <w:gridCol w:w="984"/>
        <w:gridCol w:w="1237"/>
        <w:gridCol w:w="27"/>
        <w:gridCol w:w="1012"/>
      </w:tblGrid>
      <w:tr w:rsidR="00A04F31" w:rsidRPr="00A04F31" w:rsidTr="00546A98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3. DIO – PROVEDENE OBVEZE ZA PODMJERU 11.1. Plaćanja za prijelaz na ekološke poljoprivredne prakse i metode (EKOP) i operaciju Prijelaz na ekološki uzgoj</w:t>
            </w:r>
          </w:p>
        </w:tc>
      </w:tr>
      <w:tr w:rsidR="00A04F31" w:rsidRPr="00A04F31" w:rsidTr="00546A98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1. Gnojidba (evidentirati svaku primjenu gnojiva)</w:t>
            </w:r>
          </w:p>
        </w:tc>
      </w:tr>
      <w:tr w:rsidR="00A04F31" w:rsidRPr="00A04F31" w:rsidTr="00546A98"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ARKOD ID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kultura</w:t>
            </w:r>
          </w:p>
        </w:tc>
        <w:tc>
          <w:tcPr>
            <w:tcW w:w="14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datum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vrsta gnojiva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31F20"/>
                <w:sz w:val="16"/>
                <w:szCs w:val="16"/>
                <w:bdr w:val="none" w:sz="0" w:space="0" w:color="auto" w:frame="1"/>
                <w:lang w:eastAsia="hr-HR"/>
              </w:rPr>
            </w:pPr>
            <w:r w:rsidRPr="00A04F31">
              <w:rPr>
                <w:rFonts w:ascii="Times New Roman" w:eastAsia="Times New Roman" w:hAnsi="Times New Roman" w:cs="Times New Roman"/>
                <w:color w:val="231F20"/>
                <w:sz w:val="16"/>
                <w:szCs w:val="16"/>
                <w:bdr w:val="none" w:sz="0" w:space="0" w:color="auto" w:frame="1"/>
                <w:lang w:eastAsia="hr-HR"/>
              </w:rPr>
              <w:t>količina gnojiva</w:t>
            </w:r>
          </w:p>
          <w:p w:rsidR="00A04F31" w:rsidRPr="00A04F31" w:rsidRDefault="00A04F31" w:rsidP="00A04F3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31F20"/>
                <w:sz w:val="16"/>
                <w:szCs w:val="16"/>
                <w:bdr w:val="none" w:sz="0" w:space="0" w:color="auto" w:frame="1"/>
                <w:lang w:eastAsia="hr-HR"/>
              </w:rPr>
            </w:pPr>
            <w:r w:rsidRPr="00A04F31">
              <w:rPr>
                <w:rFonts w:ascii="Times New Roman" w:eastAsia="Times New Roman" w:hAnsi="Times New Roman" w:cs="Times New Roman"/>
                <w:color w:val="231F20"/>
                <w:sz w:val="16"/>
                <w:szCs w:val="16"/>
                <w:bdr w:val="none" w:sz="0" w:space="0" w:color="auto" w:frame="1"/>
                <w:lang w:eastAsia="hr-HR"/>
              </w:rPr>
              <w:t>(kg/ha ili l/ha)</w:t>
            </w:r>
          </w:p>
        </w:tc>
        <w:tc>
          <w:tcPr>
            <w:tcW w:w="6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napomena</w:t>
            </w:r>
          </w:p>
        </w:tc>
      </w:tr>
      <w:tr w:rsidR="00A04F31" w:rsidRPr="00A04F31" w:rsidTr="00546A98"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4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A04F31" w:rsidRPr="00A04F31" w:rsidTr="00546A98"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4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A04F31" w:rsidRPr="00A04F31" w:rsidTr="00546A98"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45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A04F31" w:rsidRPr="00A04F31" w:rsidTr="00546A98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2. Uporaba sredstva za zaštitu bilja (evidentirati svaku primjenu sredstava za zaštitu bilja)</w:t>
            </w:r>
          </w:p>
        </w:tc>
      </w:tr>
      <w:tr w:rsidR="00A04F31" w:rsidRPr="00A04F31" w:rsidTr="00546A98"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ARKOD ID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kultura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datum početka i završetka tretiranja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količina primijenjenog SZB doza (kg/ha ili l/ha)ili koncentracija (%)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sredstvo</w:t>
            </w:r>
          </w:p>
        </w:tc>
        <w:tc>
          <w:tcPr>
            <w:tcW w:w="6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razlog korištenja</w:t>
            </w: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napomena</w:t>
            </w:r>
          </w:p>
        </w:tc>
      </w:tr>
      <w:tr w:rsidR="00A04F31" w:rsidRPr="00A04F31" w:rsidTr="00546A98"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lastRenderedPageBreak/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A04F31" w:rsidRPr="00A04F31" w:rsidTr="00546A98"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A04F31" w:rsidRPr="00A04F31" w:rsidTr="00546A98"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A04F31" w:rsidRPr="00A04F31" w:rsidTr="00546A98"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1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A04F31" w:rsidRPr="00A04F31" w:rsidTr="00546A98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3. Agrotehničke mjere (evidentirati primjenu svake agrotehničke mjere kronološkim redom)</w:t>
            </w:r>
          </w:p>
        </w:tc>
      </w:tr>
      <w:tr w:rsidR="00A04F31" w:rsidRPr="00A04F31" w:rsidTr="00546A98">
        <w:tc>
          <w:tcPr>
            <w:tcW w:w="17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ARKOD ID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kultura</w:t>
            </w:r>
          </w:p>
        </w:tc>
        <w:tc>
          <w:tcPr>
            <w:tcW w:w="13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datum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mjera/zahvat</w:t>
            </w:r>
          </w:p>
        </w:tc>
        <w:tc>
          <w:tcPr>
            <w:tcW w:w="6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opis</w:t>
            </w:r>
          </w:p>
        </w:tc>
      </w:tr>
      <w:tr w:rsidR="00A04F31" w:rsidRPr="00A04F31" w:rsidTr="00546A98">
        <w:tc>
          <w:tcPr>
            <w:tcW w:w="17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3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A04F31" w:rsidRPr="00A04F31" w:rsidTr="00546A98">
        <w:tc>
          <w:tcPr>
            <w:tcW w:w="17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3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A04F31" w:rsidRPr="00A04F31" w:rsidTr="00546A98">
        <w:tc>
          <w:tcPr>
            <w:tcW w:w="17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39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A04F31" w:rsidRPr="00A04F31" w:rsidTr="00546A98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4. Obveza držanja stoke na trajnom travnjaku: najmanje 0,5 UG/ha (najmanje 1 govedo/kopitar na 2 hektara ili 3 ovce/koze po hektaru travnjaka), osim na krškim pašnjacima 0,3 UG/ha (najmanje 1 govedo/kopitar na 3 hektara ili 2 ovce/koze po hektaru travnjaka). Prihvatljive životinje su goveda, kopitari, ovce i koze; životinje se moraju uzgajati u skladu s Uredbom Europskog parlamenta i Vijeća (EU) 2018/848, Provedbenom uredbom Komisije (EU) 2020/464 i Provedbenom uredbom Komisije (EU) 2021/1165.</w:t>
            </w:r>
          </w:p>
        </w:tc>
      </w:tr>
      <w:tr w:rsidR="00A04F31" w:rsidRPr="00A04F31" w:rsidTr="00546A98"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ARKOD ID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domaće ime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broj stoke koja se drži na parceli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vrste stoke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koliko UG</w:t>
            </w:r>
          </w:p>
        </w:tc>
        <w:tc>
          <w:tcPr>
            <w:tcW w:w="118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jc w:val="center"/>
              <w:rPr>
                <w:rFonts w:ascii="Minion Pro" w:eastAsia="Times New Roman" w:hAnsi="Minion Pro" w:cs="Times New Roman"/>
                <w:color w:val="231F20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vremenski period držanja stoke na površini</w:t>
            </w:r>
          </w:p>
        </w:tc>
      </w:tr>
      <w:tr w:rsidR="00A04F31" w:rsidRPr="00A04F31" w:rsidTr="00546A98"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8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A04F31" w:rsidRPr="00A04F31" w:rsidTr="00546A98"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8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  <w:tr w:rsidR="00A04F31" w:rsidRPr="00A04F31" w:rsidTr="00546A98">
        <w:tc>
          <w:tcPr>
            <w:tcW w:w="11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5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  <w:tc>
          <w:tcPr>
            <w:tcW w:w="118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A04F31" w:rsidRPr="00A04F31" w:rsidRDefault="00A04F31" w:rsidP="00A04F31">
            <w:pPr>
              <w:spacing w:after="0" w:line="240" w:lineRule="auto"/>
              <w:rPr>
                <w:rFonts w:ascii="Minion Pro" w:eastAsia="Times New Roman" w:hAnsi="Minion Pro" w:cs="Times New Roman"/>
                <w:sz w:val="18"/>
                <w:szCs w:val="18"/>
                <w:lang w:eastAsia="hr-HR"/>
              </w:rPr>
            </w:pPr>
            <w:r w:rsidRPr="00A04F31">
              <w:rPr>
                <w:rFonts w:ascii="Minion Pro" w:eastAsia="Times New Roman" w:hAnsi="Minion Pro" w:cs="Times New Roman"/>
                <w:sz w:val="18"/>
                <w:szCs w:val="18"/>
                <w:bdr w:val="none" w:sz="0" w:space="0" w:color="auto" w:frame="1"/>
                <w:lang w:eastAsia="hr-HR"/>
              </w:rPr>
              <w:t> </w:t>
            </w:r>
          </w:p>
        </w:tc>
      </w:tr>
    </w:tbl>
    <w:p w:rsidR="00A04F31" w:rsidRPr="00A04F31" w:rsidRDefault="00A04F31" w:rsidP="00A04F31">
      <w:pPr>
        <w:spacing w:after="0" w:line="240" w:lineRule="auto"/>
        <w:textAlignment w:val="baseline"/>
        <w:rPr>
          <w:rFonts w:ascii="Minion Pro" w:eastAsia="Times New Roman" w:hAnsi="Minion Pro" w:cs="Times New Roman"/>
          <w:sz w:val="24"/>
          <w:szCs w:val="24"/>
          <w:lang w:eastAsia="hr-HR"/>
        </w:rPr>
      </w:pPr>
    </w:p>
    <w:p w:rsidR="00A04F31" w:rsidRPr="00A04F31" w:rsidRDefault="00A04F31" w:rsidP="00A04F31">
      <w:pPr>
        <w:spacing w:after="0" w:line="240" w:lineRule="auto"/>
        <w:textAlignment w:val="baseline"/>
        <w:rPr>
          <w:rFonts w:ascii="Minion Pro" w:eastAsia="Times New Roman" w:hAnsi="Minion Pro" w:cs="Times New Roman"/>
          <w:sz w:val="24"/>
          <w:szCs w:val="24"/>
          <w:lang w:eastAsia="hr-HR"/>
        </w:rPr>
      </w:pPr>
    </w:p>
    <w:p w:rsidR="00293E72" w:rsidRDefault="00293E72">
      <w:bookmarkStart w:id="0" w:name="_GoBack"/>
      <w:bookmarkEnd w:id="0"/>
    </w:p>
    <w:sectPr w:rsidR="00293E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F31"/>
    <w:rsid w:val="00293E72"/>
    <w:rsid w:val="00A0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4587D8-CBF1-4B83-96E4-62F624BB0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Miljković</dc:creator>
  <cp:keywords/>
  <dc:description/>
  <cp:lastModifiedBy>Maja Miljković</cp:lastModifiedBy>
  <cp:revision>1</cp:revision>
  <dcterms:created xsi:type="dcterms:W3CDTF">2024-03-13T09:50:00Z</dcterms:created>
  <dcterms:modified xsi:type="dcterms:W3CDTF">2024-03-13T09:50:00Z</dcterms:modified>
</cp:coreProperties>
</file>